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A160E" w14:textId="77777777" w:rsidR="002C733A" w:rsidRPr="002C733A" w:rsidRDefault="002C733A" w:rsidP="002C733A">
      <w:pPr>
        <w:pStyle w:val="Titre"/>
        <w:jc w:val="center"/>
        <w:rPr>
          <w:sz w:val="48"/>
        </w:rPr>
      </w:pPr>
      <w:r w:rsidRPr="002C733A">
        <w:rPr>
          <w:sz w:val="48"/>
        </w:rPr>
        <w:t>Introduction au Droit</w:t>
      </w:r>
    </w:p>
    <w:p w14:paraId="1C9CE77D" w14:textId="77777777" w:rsidR="006B3678" w:rsidRDefault="002C733A" w:rsidP="002C733A">
      <w:pPr>
        <w:pStyle w:val="Titre"/>
        <w:jc w:val="center"/>
        <w:rPr>
          <w:sz w:val="48"/>
        </w:rPr>
      </w:pPr>
      <w:r w:rsidRPr="002C733A">
        <w:rPr>
          <w:sz w:val="48"/>
        </w:rPr>
        <w:t xml:space="preserve">Séance n°1 : </w:t>
      </w:r>
      <w:r w:rsidRPr="002C733A">
        <w:rPr>
          <w:color w:val="7F7F7F" w:themeColor="text1" w:themeTint="80"/>
          <w:sz w:val="48"/>
        </w:rPr>
        <w:t>Bases méthodologiques</w:t>
      </w:r>
      <w:r w:rsidRPr="002C733A">
        <w:rPr>
          <w:sz w:val="48"/>
        </w:rPr>
        <w:t>.</w:t>
      </w:r>
    </w:p>
    <w:p w14:paraId="4A695610" w14:textId="77777777" w:rsidR="00891483" w:rsidRPr="00891483" w:rsidRDefault="00891483" w:rsidP="00891483"/>
    <w:p w14:paraId="461791BB" w14:textId="77777777" w:rsidR="00891483" w:rsidRPr="00891483" w:rsidRDefault="00891483" w:rsidP="00891483">
      <w:pPr>
        <w:pStyle w:val="Paragraphedeliste"/>
        <w:numPr>
          <w:ilvl w:val="0"/>
          <w:numId w:val="10"/>
        </w:numPr>
        <w:rPr>
          <w:color w:val="FF0000"/>
          <w:u w:val="single"/>
        </w:rPr>
      </w:pPr>
      <w:r w:rsidRPr="00891483">
        <w:rPr>
          <w:color w:val="FF0000"/>
          <w:u w:val="single"/>
        </w:rPr>
        <w:t>Question 1 :</w:t>
      </w:r>
    </w:p>
    <w:p w14:paraId="113E9EAF" w14:textId="77777777" w:rsidR="002C733A" w:rsidRDefault="002C733A"/>
    <w:p w14:paraId="2A5A5AB2" w14:textId="77777777" w:rsidR="00C962B8" w:rsidRDefault="002C733A">
      <w:r>
        <w:t>La spécificité du langage juridique, c’est qu’il se doit d’être très précis et qui, parfois, utilise des termes qui n’ont aucun rapport avec le sens « courant » du mot. Le juriste se doit d’utiliser un voc</w:t>
      </w:r>
      <w:r w:rsidR="00733349">
        <w:t>abulaire juridique, à la fois précis et technique : il ne peut pas utiliser un mot pour un autre, car toute la base du Droit se trouve dans ce langage complexe. Aussi, il s’agit d’un vrai casse-tête pour le commun des mortels, puisque chaque terme juridique e</w:t>
      </w:r>
      <w:r w:rsidR="00656B4D">
        <w:t xml:space="preserve">mployé renvoie à une définition précise qui permet de ne pas être expliqué à chaque utilisation du mot. </w:t>
      </w:r>
    </w:p>
    <w:p w14:paraId="67561E34" w14:textId="77777777" w:rsidR="00C962B8" w:rsidRDefault="00C962B8"/>
    <w:p w14:paraId="6DD18BED" w14:textId="77777777" w:rsidR="00733349" w:rsidRDefault="00656B4D">
      <w:r>
        <w:t xml:space="preserve">C’est ce que critique Gérard Cornu, dans Droit Civil, Introduction, les personnes, les biens. </w:t>
      </w:r>
      <w:r w:rsidR="00C962B8">
        <w:t>En d’autres termes, il dénonce un problème de compréhension de ceux qui ne sont pas dans la branche du Droit, car il s’agit d’un langage spécialisé, techniq</w:t>
      </w:r>
      <w:r w:rsidR="00FD5331">
        <w:t>ue, et de surcroit, ésotérique, d’où la création de nombreux dictionnaires juridiques.</w:t>
      </w:r>
    </w:p>
    <w:p w14:paraId="1AF1F78A" w14:textId="77777777" w:rsidR="002C733A" w:rsidRDefault="002C733A"/>
    <w:p w14:paraId="4FB22719" w14:textId="77777777" w:rsidR="002C733A" w:rsidRDefault="002C733A">
      <w:r>
        <w:t>En effet, nous pouvons prendre le sens « juridique » du mot « infraction » et le comparer au langage courant. Tout d’abord, l’infraction, dans le sens juridique du terme, est une action qui peut être passible d’une amende, et/ou d’une peine de prison. Il y a trois catégories d’infractions :</w:t>
      </w:r>
    </w:p>
    <w:p w14:paraId="0092CC3E" w14:textId="77777777" w:rsidR="002C733A" w:rsidRDefault="002C733A"/>
    <w:p w14:paraId="1AB2180E" w14:textId="77777777" w:rsidR="002C733A" w:rsidRDefault="002C733A" w:rsidP="002C733A">
      <w:pPr>
        <w:pStyle w:val="Paragraphedeliste"/>
        <w:numPr>
          <w:ilvl w:val="0"/>
          <w:numId w:val="1"/>
        </w:numPr>
        <w:jc w:val="both"/>
      </w:pPr>
      <w:r w:rsidRPr="007B76D0">
        <w:rPr>
          <w:i/>
        </w:rPr>
        <w:t>Crime</w:t>
      </w:r>
      <w:r>
        <w:t> : meurtre, viol, génocide, crime contre l’Humanité…</w:t>
      </w:r>
    </w:p>
    <w:p w14:paraId="3D518709" w14:textId="77777777" w:rsidR="002C733A" w:rsidRDefault="002C733A" w:rsidP="002C733A">
      <w:pPr>
        <w:pStyle w:val="Paragraphedeliste"/>
        <w:numPr>
          <w:ilvl w:val="0"/>
          <w:numId w:val="1"/>
        </w:numPr>
        <w:jc w:val="both"/>
      </w:pPr>
      <w:r w:rsidRPr="007B76D0">
        <w:rPr>
          <w:i/>
        </w:rPr>
        <w:t>Délit</w:t>
      </w:r>
      <w:r>
        <w:t> : notamment les hauts excès de vitesse (plus de 70 km/h au dessus de la vitesse autorisée), les fraudes fiscales</w:t>
      </w:r>
      <w:proofErr w:type="gramStart"/>
      <w:r>
        <w:t>..</w:t>
      </w:r>
      <w:proofErr w:type="gramEnd"/>
    </w:p>
    <w:p w14:paraId="7BB64137" w14:textId="77777777" w:rsidR="002C733A" w:rsidRDefault="002C733A" w:rsidP="002C733A">
      <w:pPr>
        <w:pStyle w:val="Paragraphedeliste"/>
        <w:numPr>
          <w:ilvl w:val="0"/>
          <w:numId w:val="1"/>
        </w:numPr>
        <w:jc w:val="both"/>
      </w:pPr>
      <w:r w:rsidRPr="007B76D0">
        <w:rPr>
          <w:i/>
        </w:rPr>
        <w:t>Contravention </w:t>
      </w:r>
      <w:r>
        <w:t>(comportement interdit, mais peu grave face aux autres catégories) : P.V.</w:t>
      </w:r>
    </w:p>
    <w:p w14:paraId="20EFAF31" w14:textId="77777777" w:rsidR="00560350" w:rsidRDefault="00560350" w:rsidP="00560350">
      <w:pPr>
        <w:ind w:left="360"/>
        <w:jc w:val="both"/>
      </w:pPr>
    </w:p>
    <w:p w14:paraId="0F94BD7F" w14:textId="77777777" w:rsidR="00560350" w:rsidRPr="00560350" w:rsidRDefault="00560350" w:rsidP="00560350">
      <w:pPr>
        <w:rPr>
          <w:rFonts w:cs="Papyrus"/>
        </w:rPr>
      </w:pPr>
      <w:r w:rsidRPr="00560350">
        <w:rPr>
          <w:rFonts w:cs="Papyrus"/>
        </w:rPr>
        <w:t xml:space="preserve">Le mot « gouvernement » n’a pas le sens que l’on utilise actuellement : juridiquement, il s’agit d’un régime politique. </w:t>
      </w:r>
    </w:p>
    <w:p w14:paraId="24911FDF" w14:textId="77777777" w:rsidR="002C6C6A" w:rsidRPr="002C733A" w:rsidRDefault="002C6C6A" w:rsidP="002C733A">
      <w:pPr>
        <w:jc w:val="both"/>
      </w:pPr>
    </w:p>
    <w:p w14:paraId="2D555F8C" w14:textId="77777777" w:rsidR="002C733A" w:rsidRDefault="00FD5331" w:rsidP="00891483">
      <w:pPr>
        <w:pStyle w:val="Paragraphedeliste"/>
        <w:numPr>
          <w:ilvl w:val="0"/>
          <w:numId w:val="1"/>
        </w:numPr>
        <w:rPr>
          <w:color w:val="FF0000"/>
          <w:u w:val="single"/>
        </w:rPr>
      </w:pPr>
      <w:r w:rsidRPr="00891483">
        <w:rPr>
          <w:color w:val="FF0000"/>
          <w:u w:val="single"/>
        </w:rPr>
        <w:t>Question 2 :</w:t>
      </w:r>
    </w:p>
    <w:p w14:paraId="77293857" w14:textId="77777777" w:rsidR="00FD5331" w:rsidRDefault="00FD5331" w:rsidP="00FD5331"/>
    <w:p w14:paraId="0363634F" w14:textId="77777777" w:rsidR="00FD5331" w:rsidRPr="00891483" w:rsidRDefault="00FD5331" w:rsidP="00891483">
      <w:pPr>
        <w:pStyle w:val="Paragraphedeliste"/>
        <w:numPr>
          <w:ilvl w:val="0"/>
          <w:numId w:val="11"/>
        </w:numPr>
        <w:rPr>
          <w:color w:val="9BBB59" w:themeColor="accent3"/>
          <w:u w:val="single"/>
        </w:rPr>
      </w:pPr>
      <w:r w:rsidRPr="00891483">
        <w:rPr>
          <w:color w:val="9BBB59" w:themeColor="accent3"/>
          <w:u w:val="single"/>
        </w:rPr>
        <w:t>Document 1 :</w:t>
      </w:r>
    </w:p>
    <w:p w14:paraId="16E5915D" w14:textId="77777777" w:rsidR="00FD5331" w:rsidRDefault="00FD5331" w:rsidP="00FD5331"/>
    <w:p w14:paraId="00065117" w14:textId="77777777" w:rsidR="00FD5331" w:rsidRDefault="00FD5331" w:rsidP="00FD5331">
      <w:r>
        <w:t xml:space="preserve">Le document 1 est une loi, c’est à dire une règle juridique suprême votée par le Parlement qui s’applique, dès son entrée en vigueur, à tout le peuple de la République Française. </w:t>
      </w:r>
      <w:r w:rsidR="003D1D91">
        <w:t>En effet, la loi s’applique à tous sans exception de classes sociales, et elle prévoit des sanctions si la loi est violée.</w:t>
      </w:r>
    </w:p>
    <w:p w14:paraId="0D618A98" w14:textId="77777777" w:rsidR="003D1D91" w:rsidRDefault="003D1D91" w:rsidP="00FD5331"/>
    <w:p w14:paraId="4C75AD73" w14:textId="77777777" w:rsidR="001E598D" w:rsidRDefault="003D1D91" w:rsidP="00FD5331">
      <w:r>
        <w:lastRenderedPageBreak/>
        <w:t xml:space="preserve">Dans la loi n° 2011-103 du 27 Janvier 2011, nous pouvons voir qu’il est question d’égalité des sexes dans les conseils d’administration. Cette loi est </w:t>
      </w:r>
      <w:r w:rsidR="002C6C6A">
        <w:t>due</w:t>
      </w:r>
      <w:r>
        <w:t xml:space="preserve"> à un problème de société</w:t>
      </w:r>
      <w:r w:rsidR="000E7C21">
        <w:t xml:space="preserve"> qui est la parité des sexes au sein du travail</w:t>
      </w:r>
      <w:r w:rsidR="00071CBE">
        <w:t>, notamment la place des femmes dans la société : par exemple, pour un poste de cadre, un homme gagnera plus d’argent qu’une femme, ayant les mêmes compétences</w:t>
      </w:r>
      <w:r w:rsidR="000E7C21">
        <w:t>.</w:t>
      </w:r>
      <w:r w:rsidR="00071CBE">
        <w:t xml:space="preserve"> </w:t>
      </w:r>
    </w:p>
    <w:p w14:paraId="720E9546" w14:textId="037BA4FE" w:rsidR="003D1D91" w:rsidRDefault="001E598D" w:rsidP="00FD5331">
      <w:r>
        <w:sym w:font="Wingdings" w:char="F0E0"/>
      </w:r>
      <w:r>
        <w:t xml:space="preserve"> </w:t>
      </w:r>
      <w:r w:rsidR="00071CBE">
        <w:t>Cette loi est donc un remède à la discrimination sexiste à l’égard des femmes.</w:t>
      </w:r>
    </w:p>
    <w:p w14:paraId="24316172" w14:textId="77777777" w:rsidR="00461332" w:rsidRDefault="00461332" w:rsidP="00FD5331"/>
    <w:p w14:paraId="15742A02" w14:textId="7EE79226" w:rsidR="00461332" w:rsidRPr="00461332" w:rsidRDefault="00461332" w:rsidP="00461332">
      <w:pPr>
        <w:pStyle w:val="Paragraphedeliste"/>
        <w:numPr>
          <w:ilvl w:val="0"/>
          <w:numId w:val="11"/>
        </w:numPr>
        <w:rPr>
          <w:color w:val="9BBB59" w:themeColor="accent3"/>
          <w:u w:val="single"/>
        </w:rPr>
      </w:pPr>
      <w:r w:rsidRPr="00461332">
        <w:rPr>
          <w:color w:val="9BBB59" w:themeColor="accent3"/>
          <w:u w:val="single"/>
        </w:rPr>
        <w:t>Document 2 :</w:t>
      </w:r>
    </w:p>
    <w:p w14:paraId="14DEB651" w14:textId="77777777" w:rsidR="00461332" w:rsidRDefault="00461332" w:rsidP="00461332"/>
    <w:p w14:paraId="2CC2FEB4" w14:textId="71D611CC" w:rsidR="00336840" w:rsidRDefault="00336840" w:rsidP="00461332">
      <w:r>
        <w:t>Le document 2 est l’ordonnance n°2010-1511 du 9 Décembre 2010 portant transposition de la directive 2007/36/CE du 11 juillet 2007 concernant l’exercice de certains droits des actionnaires de sociétés cotées.</w:t>
      </w:r>
    </w:p>
    <w:p w14:paraId="59B43806" w14:textId="77777777" w:rsidR="00336840" w:rsidRDefault="00336840" w:rsidP="00461332"/>
    <w:p w14:paraId="3C75B439" w14:textId="0E438592" w:rsidR="00336840" w:rsidRDefault="001E598D" w:rsidP="00461332">
      <w:r>
        <w:t>Une ordonnance, dans le langage juridique, est une mesure prise par le gouvernement qui régit du domaine de la loi. En effet,</w:t>
      </w:r>
      <w:r w:rsidR="00777D25">
        <w:t xml:space="preserve"> nous pouvons voir que beaucoup d’articles ont été soit modifiés, soit mis à jours.</w:t>
      </w:r>
    </w:p>
    <w:p w14:paraId="52227085" w14:textId="77777777" w:rsidR="00777D25" w:rsidRDefault="00777D25" w:rsidP="00461332"/>
    <w:p w14:paraId="4F67F10E" w14:textId="2AB26948" w:rsidR="00777D25" w:rsidRDefault="00777D25" w:rsidP="00461332">
      <w:r>
        <w:t xml:space="preserve">Tout d’abord, l’article 3 nous montre que l’article L. 225-106 est modifié, et introduit l’idée </w:t>
      </w:r>
      <w:r w:rsidR="001F6407">
        <w:t>qu’une société est représentée par une personne physique ou morale.</w:t>
      </w:r>
    </w:p>
    <w:p w14:paraId="6D5B3191" w14:textId="579E6158" w:rsidR="001F6407" w:rsidRDefault="001F6407" w:rsidP="00461332">
      <w:r>
        <w:t>De plus, il s’y trouve aussi des modifications suivant l’évolution des tendances (en l’occurrence financière dans cette ordonnance).</w:t>
      </w:r>
    </w:p>
    <w:p w14:paraId="498392AA" w14:textId="77777777" w:rsidR="001F6407" w:rsidRDefault="001F6407" w:rsidP="00461332"/>
    <w:p w14:paraId="720941C9" w14:textId="1FCCF879" w:rsidR="001F6407" w:rsidRDefault="001F6407" w:rsidP="00461332">
      <w:r>
        <w:t>Dans l’article 4 figure aussi des modifications, mais on y trouve aussi les sanctions en cas de non-respect de l’ordonnance. En effet, on peut voir que le tribunal de commerce peut sanctionner un mandataire en cas de non-respect de certains articles.</w:t>
      </w:r>
    </w:p>
    <w:p w14:paraId="3B50A4BF" w14:textId="77777777" w:rsidR="001F6407" w:rsidRDefault="001F6407" w:rsidP="00461332"/>
    <w:p w14:paraId="1564FF91" w14:textId="4FAADE73" w:rsidR="001F6407" w:rsidRDefault="001F6407" w:rsidP="00461332">
      <w:r>
        <w:t>L’article 6, quant à lui, présente une modification géographique de l’ordonnance : en d’autres termes, la Nouvelle-Calédonie et les îles de Wallis et Futuna seront, à présent, incluses dans l’application de cette ordonnance et ces régions devront la respecter.</w:t>
      </w:r>
    </w:p>
    <w:p w14:paraId="6D46C971" w14:textId="77777777" w:rsidR="001F6407" w:rsidRDefault="001F6407" w:rsidP="00461332"/>
    <w:p w14:paraId="6924B8EB" w14:textId="78B61B81" w:rsidR="001F6407" w:rsidRDefault="001F6407" w:rsidP="00461332">
      <w:r>
        <w:t>L’article 7 évoque la mise en place de l’ordonnance mise à jour, à partir du 1</w:t>
      </w:r>
      <w:r w:rsidRPr="001F6407">
        <w:rPr>
          <w:vertAlign w:val="superscript"/>
        </w:rPr>
        <w:t>er</w:t>
      </w:r>
      <w:r>
        <w:t xml:space="preserve"> Janvier 2011, sachant que chaque loi et/ou autre décision juridique est généralement appliquée le 1</w:t>
      </w:r>
      <w:r w:rsidRPr="001F6407">
        <w:rPr>
          <w:vertAlign w:val="superscript"/>
        </w:rPr>
        <w:t>er</w:t>
      </w:r>
      <w:r>
        <w:t xml:space="preserve"> Janvier ou le 1</w:t>
      </w:r>
      <w:r w:rsidRPr="001F6407">
        <w:rPr>
          <w:vertAlign w:val="superscript"/>
        </w:rPr>
        <w:t>er</w:t>
      </w:r>
      <w:r>
        <w:t xml:space="preserve"> Juillet.</w:t>
      </w:r>
    </w:p>
    <w:p w14:paraId="2F62B492" w14:textId="77777777" w:rsidR="001F6407" w:rsidRDefault="001F6407" w:rsidP="00461332"/>
    <w:p w14:paraId="731AFC83" w14:textId="77777777" w:rsidR="009E31C9" w:rsidRDefault="009E31C9" w:rsidP="00461332"/>
    <w:p w14:paraId="6D561284" w14:textId="77777777" w:rsidR="009E31C9" w:rsidRDefault="009E31C9" w:rsidP="00461332"/>
    <w:p w14:paraId="1A114592" w14:textId="77777777" w:rsidR="009E31C9" w:rsidRDefault="009E31C9" w:rsidP="00461332"/>
    <w:p w14:paraId="23A6B002" w14:textId="77777777" w:rsidR="009E31C9" w:rsidRDefault="009E31C9" w:rsidP="00461332"/>
    <w:p w14:paraId="4CBAF885" w14:textId="77777777" w:rsidR="009E31C9" w:rsidRDefault="009E31C9" w:rsidP="00461332"/>
    <w:p w14:paraId="3BDCDE35" w14:textId="77777777" w:rsidR="009E31C9" w:rsidRDefault="009E31C9" w:rsidP="00461332"/>
    <w:p w14:paraId="23457391" w14:textId="77777777" w:rsidR="009E31C9" w:rsidRDefault="009E31C9" w:rsidP="00461332"/>
    <w:p w14:paraId="3A6F5320" w14:textId="77777777" w:rsidR="009E31C9" w:rsidRDefault="009E31C9" w:rsidP="00461332"/>
    <w:p w14:paraId="7D4A153A" w14:textId="3967675D" w:rsidR="001F6407" w:rsidRPr="004C6AA2" w:rsidRDefault="004C6AA2" w:rsidP="004C6AA2">
      <w:pPr>
        <w:pStyle w:val="Paragraphedeliste"/>
        <w:numPr>
          <w:ilvl w:val="0"/>
          <w:numId w:val="11"/>
        </w:numPr>
        <w:rPr>
          <w:color w:val="9BBB59" w:themeColor="accent3"/>
          <w:u w:val="single"/>
        </w:rPr>
      </w:pPr>
      <w:r w:rsidRPr="004C6AA2">
        <w:rPr>
          <w:color w:val="9BBB59" w:themeColor="accent3"/>
          <w:u w:val="single"/>
        </w:rPr>
        <w:t>Document 3 :</w:t>
      </w:r>
    </w:p>
    <w:p w14:paraId="4EF51C1F" w14:textId="77777777" w:rsidR="004C6AA2" w:rsidRDefault="004C6AA2" w:rsidP="004C6AA2"/>
    <w:p w14:paraId="3C25B95D" w14:textId="0E065E78" w:rsidR="004C6AA2" w:rsidRDefault="004C6AA2" w:rsidP="004C6AA2">
      <w:r>
        <w:t>Le document 3 est un décret du 1</w:t>
      </w:r>
      <w:r w:rsidRPr="004C6AA2">
        <w:rPr>
          <w:vertAlign w:val="superscript"/>
        </w:rPr>
        <w:t>er</w:t>
      </w:r>
      <w:r>
        <w:t xml:space="preserve"> Août 2011 qui évoque la convocation du Parlement  en session extraordinaire.</w:t>
      </w:r>
    </w:p>
    <w:p w14:paraId="5D575A6B" w14:textId="77777777" w:rsidR="00560350" w:rsidRDefault="00560350" w:rsidP="004C6AA2"/>
    <w:p w14:paraId="7B34A352" w14:textId="40856D84" w:rsidR="00560350" w:rsidRDefault="00560350" w:rsidP="004C6AA2">
      <w:r>
        <w:t xml:space="preserve">Selon le dictionnaire juridique, un </w:t>
      </w:r>
      <w:r w:rsidRPr="00560350">
        <w:t xml:space="preserve">décret est </w:t>
      </w:r>
      <w:r>
        <w:t>« «</w:t>
      </w:r>
      <w:r w:rsidRPr="00560350">
        <w:t>un acte administratif de portée générale ou individuelle signée par le Président de la République ou par le premier ministre. Les décrets sont publiés au journal officiel. Ils sont en dessous des l</w:t>
      </w:r>
      <w:r>
        <w:t>ois mais supérieurs aux arrêtés »</w:t>
      </w:r>
    </w:p>
    <w:p w14:paraId="132BAFDD" w14:textId="77777777" w:rsidR="004C6AA2" w:rsidRDefault="004C6AA2" w:rsidP="004C6AA2"/>
    <w:p w14:paraId="2562E961" w14:textId="30F040DB" w:rsidR="004C6AA2" w:rsidRDefault="00560350" w:rsidP="004C6AA2">
      <w:r>
        <w:t>En l’occurrence, dans ce décret, le président de la République convoque exceptionnellement le Parlement, pour ad</w:t>
      </w:r>
      <w:r w:rsidR="009E31C9">
        <w:t xml:space="preserve">opter le projet de loi </w:t>
      </w:r>
      <w:r w:rsidR="00D30A81">
        <w:t>du à la crise financière et économique, et aussi pour avoir un équilibrage de la dette française, pour ne pas finir endetté et au bord de la banqueroute comme la Grèce. De plus, la dette française est cotée par des agences bancaires, et lorsqu'</w:t>
      </w:r>
      <w:r w:rsidR="00F75C58">
        <w:t xml:space="preserve">elle est décotée, moins d’investisseurs </w:t>
      </w:r>
      <w:r w:rsidR="009367DC">
        <w:t>achètent de la dette française.</w:t>
      </w:r>
    </w:p>
    <w:p w14:paraId="0BF4CD6E" w14:textId="77777777" w:rsidR="009367DC" w:rsidRDefault="009367DC" w:rsidP="004C6AA2"/>
    <w:p w14:paraId="4979AD75" w14:textId="39543210" w:rsidR="009367DC" w:rsidRDefault="009367DC" w:rsidP="004C6AA2">
      <w:r>
        <w:t>Comme l’ordonnance, le décret est publié dans le Journal Officiel de la République Française.</w:t>
      </w:r>
    </w:p>
    <w:p w14:paraId="1278A4BA" w14:textId="77777777" w:rsidR="009367DC" w:rsidRDefault="009367DC" w:rsidP="004C6AA2"/>
    <w:p w14:paraId="6E115605" w14:textId="1ADBF72F" w:rsidR="009367DC" w:rsidRPr="009367DC" w:rsidRDefault="009367DC" w:rsidP="009367DC">
      <w:pPr>
        <w:pStyle w:val="Paragraphedeliste"/>
        <w:numPr>
          <w:ilvl w:val="0"/>
          <w:numId w:val="12"/>
        </w:numPr>
        <w:rPr>
          <w:color w:val="9BBB59" w:themeColor="accent3"/>
          <w:u w:val="single"/>
        </w:rPr>
      </w:pPr>
      <w:r w:rsidRPr="009367DC">
        <w:rPr>
          <w:color w:val="9BBB59" w:themeColor="accent3"/>
          <w:u w:val="single"/>
        </w:rPr>
        <w:t>Document 4 :</w:t>
      </w:r>
    </w:p>
    <w:p w14:paraId="03A695CD" w14:textId="77777777" w:rsidR="009367DC" w:rsidRDefault="009367DC" w:rsidP="009367DC"/>
    <w:p w14:paraId="7BEDDB22" w14:textId="1F845541" w:rsidR="009367DC" w:rsidRDefault="00FB6CBF" w:rsidP="009367DC">
      <w:r>
        <w:t>Le document 4 est une cir</w:t>
      </w:r>
      <w:r w:rsidR="00FE6583">
        <w:t>culaire, celle du 29 février 2008 à l’application des lois, écrite par François Fillon.</w:t>
      </w:r>
    </w:p>
    <w:p w14:paraId="2548268E" w14:textId="2A62BC47" w:rsidR="00F75C58" w:rsidRDefault="00836121" w:rsidP="004C6AA2">
      <w:r>
        <w:t>Une</w:t>
      </w:r>
      <w:r w:rsidRPr="00836121">
        <w:t xml:space="preserve"> "circulaire" est une note d'organisation interne à un service émise par le fonctionnaire qui en assure la direction</w:t>
      </w:r>
      <w:r>
        <w:t xml:space="preserve"> (ex : Circulaire Ministérielle : François Fillon).</w:t>
      </w:r>
    </w:p>
    <w:p w14:paraId="4A7E63CC" w14:textId="77777777" w:rsidR="00836121" w:rsidRDefault="00836121" w:rsidP="004C6AA2"/>
    <w:p w14:paraId="6CCDB341" w14:textId="4A869FE8" w:rsidR="00836121" w:rsidRDefault="00836121" w:rsidP="004C6AA2">
      <w:r w:rsidRPr="00836121">
        <w:t xml:space="preserve">Le gouvernement </w:t>
      </w:r>
      <w:r>
        <w:t>se préoccupe de la rapidité de l’</w:t>
      </w:r>
      <w:r w:rsidRPr="00836121">
        <w:t>application des lois qui ne serait pas to</w:t>
      </w:r>
      <w:r>
        <w:t>ujours mise en oeuvre et serait, à priori, un signe</w:t>
      </w:r>
      <w:r w:rsidRPr="00836121">
        <w:t xml:space="preserve"> de </w:t>
      </w:r>
      <w:r>
        <w:t>« </w:t>
      </w:r>
      <w:r w:rsidRPr="00836121">
        <w:t xml:space="preserve">négligence vis-à-vis de nos </w:t>
      </w:r>
      <w:r>
        <w:t>concitoyens ». En d’autres termes, le Premier Ministre demande à ses Ministres qu’une loi, dès son vote et son instauration, soit immédiatement respectée pour ne pas remettre en cause la crédibilité du Gouvernement lors de l’adoption des lois.</w:t>
      </w:r>
      <w:bookmarkStart w:id="0" w:name="_GoBack"/>
      <w:bookmarkEnd w:id="0"/>
    </w:p>
    <w:p w14:paraId="6DC75E13" w14:textId="77777777" w:rsidR="00836121" w:rsidRDefault="00836121" w:rsidP="004C6AA2"/>
    <w:p w14:paraId="32C76DD0" w14:textId="6DE61F9E" w:rsidR="00FE6583" w:rsidRPr="00FE6583" w:rsidRDefault="00FE6583" w:rsidP="00FE6583">
      <w:pPr>
        <w:pStyle w:val="Paragraphedeliste"/>
        <w:numPr>
          <w:ilvl w:val="0"/>
          <w:numId w:val="12"/>
        </w:numPr>
        <w:rPr>
          <w:color w:val="9BBB59" w:themeColor="accent3"/>
          <w:u w:val="single"/>
        </w:rPr>
      </w:pPr>
      <w:r w:rsidRPr="00FE6583">
        <w:rPr>
          <w:color w:val="9BBB59" w:themeColor="accent3"/>
          <w:u w:val="single"/>
        </w:rPr>
        <w:t>Document 5 :</w:t>
      </w:r>
    </w:p>
    <w:p w14:paraId="3057EFDA" w14:textId="77777777" w:rsidR="00FE6583" w:rsidRDefault="00FE6583" w:rsidP="00FE6583"/>
    <w:p w14:paraId="77C5D289" w14:textId="32791A71" w:rsidR="00FE6583" w:rsidRDefault="00FE6583" w:rsidP="00FE6583">
      <w:r>
        <w:t xml:space="preserve">Le document 5 est un arrêt du 13 mars 2007 rendue par la Première Chambre civile de la Cour de Cassation. </w:t>
      </w:r>
    </w:p>
    <w:p w14:paraId="0E356BE6" w14:textId="24248B59" w:rsidR="00FE6583" w:rsidRDefault="00FE6583" w:rsidP="00FE6583">
      <w:r>
        <w:t>Selon ce document, il est question d’une décision rendue par la plus haute institution juridique qui est le Conseil d’Etat</w:t>
      </w:r>
      <w:r w:rsidR="00F573A6">
        <w:t> :</w:t>
      </w:r>
    </w:p>
    <w:p w14:paraId="00F2293F" w14:textId="77777777" w:rsidR="00F573A6" w:rsidRDefault="00F573A6" w:rsidP="00FE6583"/>
    <w:p w14:paraId="29029BC2" w14:textId="641E222D" w:rsidR="00F573A6" w:rsidRDefault="00F573A6" w:rsidP="00F573A6">
      <w:pPr>
        <w:pStyle w:val="Paragraphedeliste"/>
        <w:numPr>
          <w:ilvl w:val="0"/>
          <w:numId w:val="1"/>
        </w:numPr>
      </w:pPr>
      <w:r>
        <w:t>Les litiges de certains fonctionnaires nommés par décret.</w:t>
      </w:r>
    </w:p>
    <w:p w14:paraId="652518F2" w14:textId="77777777" w:rsidR="00F573A6" w:rsidRDefault="00F573A6" w:rsidP="00F573A6"/>
    <w:p w14:paraId="353159AE" w14:textId="47C4CCB4" w:rsidR="00F573A6" w:rsidRDefault="00F573A6" w:rsidP="00F573A6">
      <w:r>
        <w:t xml:space="preserve">En d’autres termes, le Conseil d’Etat va ré-analyser le dossier que la Cour d’Appel a rendu, et il va se charger de trouver les failles. </w:t>
      </w:r>
      <w:r w:rsidRPr="00F573A6">
        <w:t xml:space="preserve">Le Conseil d’Etat juge que, dans la branche 4 que « la cour d’Appel a violé les articles 12 et 14 de la Convention européenne de sauvegarde des droits de l’homme </w:t>
      </w:r>
      <w:r>
        <w:t>et des libertés fondamentales », et en outre, la Cour d’Appel a aussi violé l’article 9 de la Charte des droits fondamentaux de l’Union Européenne.</w:t>
      </w:r>
    </w:p>
    <w:p w14:paraId="5436721E" w14:textId="77777777" w:rsidR="00F573A6" w:rsidRDefault="00F573A6" w:rsidP="00F573A6"/>
    <w:p w14:paraId="66D1CEF7" w14:textId="364BC94A" w:rsidR="00041F3C" w:rsidRPr="00041F3C" w:rsidRDefault="00041F3C" w:rsidP="00041F3C">
      <w:pPr>
        <w:pStyle w:val="Paragraphedeliste"/>
        <w:numPr>
          <w:ilvl w:val="0"/>
          <w:numId w:val="1"/>
        </w:numPr>
        <w:rPr>
          <w:color w:val="FF0000"/>
          <w:u w:val="single"/>
        </w:rPr>
      </w:pPr>
      <w:r w:rsidRPr="00041F3C">
        <w:rPr>
          <w:color w:val="FF0000"/>
          <w:u w:val="single"/>
        </w:rPr>
        <w:t>Question 3 :</w:t>
      </w:r>
    </w:p>
    <w:p w14:paraId="1475DCA0" w14:textId="77777777" w:rsidR="00041F3C" w:rsidRDefault="00041F3C" w:rsidP="00F573A6"/>
    <w:p w14:paraId="089D9735" w14:textId="2DF0BF9E" w:rsidR="00041F3C" w:rsidRDefault="00041F3C" w:rsidP="00F573A6">
      <w:r>
        <w:t>Cf. le truc dans le cahier en haut.</w:t>
      </w:r>
    </w:p>
    <w:p w14:paraId="414A35B0" w14:textId="77777777" w:rsidR="00F573A6" w:rsidRDefault="00F573A6" w:rsidP="00F573A6"/>
    <w:sectPr w:rsidR="00F573A6" w:rsidSect="00660440">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Papyrus">
    <w:panose1 w:val="020B0602040200020303"/>
    <w:charset w:val="00"/>
    <w:family w:val="auto"/>
    <w:pitch w:val="variable"/>
    <w:sig w:usb0="80000063" w:usb1="00000040" w:usb2="00000000" w:usb3="00000000" w:csb0="0000006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5776B"/>
    <w:multiLevelType w:val="hybridMultilevel"/>
    <w:tmpl w:val="0FE664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CBC41EC"/>
    <w:multiLevelType w:val="hybridMultilevel"/>
    <w:tmpl w:val="56E64796"/>
    <w:lvl w:ilvl="0" w:tplc="FF8E7F5C">
      <w:numFmt w:val="bullet"/>
      <w:lvlText w:val="-"/>
      <w:lvlJc w:val="left"/>
      <w:pPr>
        <w:ind w:left="720" w:hanging="360"/>
      </w:pPr>
      <w:rPr>
        <w:rFonts w:ascii="Century Gothic" w:eastAsiaTheme="minorEastAsia" w:hAnsi="Century Gothic"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3276BE6"/>
    <w:multiLevelType w:val="hybridMultilevel"/>
    <w:tmpl w:val="3C3AC9CC"/>
    <w:lvl w:ilvl="0" w:tplc="040C0003">
      <w:start w:val="1"/>
      <w:numFmt w:val="bullet"/>
      <w:lvlText w:val="o"/>
      <w:lvlJc w:val="left"/>
      <w:pPr>
        <w:ind w:left="1068" w:hanging="360"/>
      </w:pPr>
      <w:rPr>
        <w:rFonts w:ascii="Courier New" w:hAnsi="Courier New"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nsid w:val="48022796"/>
    <w:multiLevelType w:val="hybridMultilevel"/>
    <w:tmpl w:val="9B7A26F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544F1F4A"/>
    <w:multiLevelType w:val="hybridMultilevel"/>
    <w:tmpl w:val="2B7ED3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4E64BBD"/>
    <w:multiLevelType w:val="hybridMultilevel"/>
    <w:tmpl w:val="C178C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D1E06D3"/>
    <w:multiLevelType w:val="hybridMultilevel"/>
    <w:tmpl w:val="E622290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1E015FE"/>
    <w:multiLevelType w:val="hybridMultilevel"/>
    <w:tmpl w:val="F1BC3A72"/>
    <w:lvl w:ilvl="0" w:tplc="FF8E7F5C">
      <w:numFmt w:val="bullet"/>
      <w:lvlText w:val="-"/>
      <w:lvlJc w:val="left"/>
      <w:pPr>
        <w:ind w:left="720" w:hanging="360"/>
      </w:pPr>
      <w:rPr>
        <w:rFonts w:ascii="Century Gothic" w:eastAsiaTheme="minorEastAsia" w:hAnsi="Century Gothic"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AD40974"/>
    <w:multiLevelType w:val="hybridMultilevel"/>
    <w:tmpl w:val="91E2EF2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nsid w:val="716D4282"/>
    <w:multiLevelType w:val="hybridMultilevel"/>
    <w:tmpl w:val="7B5609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3FF5B3A"/>
    <w:multiLevelType w:val="hybridMultilevel"/>
    <w:tmpl w:val="F74CC1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844199E"/>
    <w:multiLevelType w:val="hybridMultilevel"/>
    <w:tmpl w:val="0484BB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9"/>
  </w:num>
  <w:num w:numId="5">
    <w:abstractNumId w:val="8"/>
  </w:num>
  <w:num w:numId="6">
    <w:abstractNumId w:val="10"/>
  </w:num>
  <w:num w:numId="7">
    <w:abstractNumId w:val="11"/>
  </w:num>
  <w:num w:numId="8">
    <w:abstractNumId w:val="5"/>
  </w:num>
  <w:num w:numId="9">
    <w:abstractNumId w:val="3"/>
  </w:num>
  <w:num w:numId="10">
    <w:abstractNumId w:val="4"/>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33A"/>
    <w:rsid w:val="0000441D"/>
    <w:rsid w:val="00041F3C"/>
    <w:rsid w:val="00071CBE"/>
    <w:rsid w:val="000E7C21"/>
    <w:rsid w:val="001E598D"/>
    <w:rsid w:val="001F6407"/>
    <w:rsid w:val="002C6C6A"/>
    <w:rsid w:val="002C733A"/>
    <w:rsid w:val="00336840"/>
    <w:rsid w:val="003B17D1"/>
    <w:rsid w:val="003D1D91"/>
    <w:rsid w:val="00461332"/>
    <w:rsid w:val="004C6AA2"/>
    <w:rsid w:val="00560350"/>
    <w:rsid w:val="00656B4D"/>
    <w:rsid w:val="00660440"/>
    <w:rsid w:val="006B3678"/>
    <w:rsid w:val="00733349"/>
    <w:rsid w:val="00777D25"/>
    <w:rsid w:val="00836121"/>
    <w:rsid w:val="00891483"/>
    <w:rsid w:val="009367DC"/>
    <w:rsid w:val="009E31C9"/>
    <w:rsid w:val="00B649BF"/>
    <w:rsid w:val="00C962B8"/>
    <w:rsid w:val="00D30A81"/>
    <w:rsid w:val="00F573A6"/>
    <w:rsid w:val="00F75C58"/>
    <w:rsid w:val="00FB69C3"/>
    <w:rsid w:val="00FB6CBF"/>
    <w:rsid w:val="00FD5331"/>
    <w:rsid w:val="00FE658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C9BEC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2C733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C733A"/>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2C6C6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2C733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C733A"/>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2C6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53138">
      <w:bodyDiv w:val="1"/>
      <w:marLeft w:val="0"/>
      <w:marRight w:val="0"/>
      <w:marTop w:val="0"/>
      <w:marBottom w:val="0"/>
      <w:divBdr>
        <w:top w:val="none" w:sz="0" w:space="0" w:color="auto"/>
        <w:left w:val="none" w:sz="0" w:space="0" w:color="auto"/>
        <w:bottom w:val="none" w:sz="0" w:space="0" w:color="auto"/>
        <w:right w:val="none" w:sz="0" w:space="0" w:color="auto"/>
      </w:divBdr>
    </w:div>
    <w:div w:id="131564402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4</Pages>
  <Words>986</Words>
  <Characters>5423</Characters>
  <Application>Microsoft Macintosh Word</Application>
  <DocSecurity>0</DocSecurity>
  <Lines>45</Lines>
  <Paragraphs>12</Paragraphs>
  <ScaleCrop>false</ScaleCrop>
  <Company/>
  <LinksUpToDate>false</LinksUpToDate>
  <CharactersWithSpaces>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Hutin</dc:creator>
  <cp:keywords/>
  <dc:description/>
  <cp:lastModifiedBy>Antoine Hutin</cp:lastModifiedBy>
  <cp:revision>14</cp:revision>
  <dcterms:created xsi:type="dcterms:W3CDTF">2011-09-25T09:39:00Z</dcterms:created>
  <dcterms:modified xsi:type="dcterms:W3CDTF">2011-09-27T18:08:00Z</dcterms:modified>
</cp:coreProperties>
</file>